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406A" w14:textId="77777777" w:rsidR="005B4033" w:rsidRPr="005B4033" w:rsidRDefault="005B4033" w:rsidP="005B4033">
      <w:pPr>
        <w:spacing w:before="120" w:after="28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chuong_pl_4"/>
      <w:r w:rsidRPr="005B4033">
        <w:rPr>
          <w:rFonts w:ascii="Times New Roman" w:hAnsi="Times New Roman" w:cs="Times New Roman"/>
          <w:b/>
          <w:bCs/>
          <w:sz w:val="24"/>
          <w:szCs w:val="24"/>
          <w:lang w:val="vi-VN"/>
        </w:rPr>
        <w:t>Mẫu số 04</w:t>
      </w:r>
      <w:bookmarkEnd w:id="0"/>
    </w:p>
    <w:p w14:paraId="24DFE3FF" w14:textId="77777777" w:rsidR="005B4033" w:rsidRPr="005B4033" w:rsidRDefault="005B4033" w:rsidP="005B4033">
      <w:pPr>
        <w:spacing w:before="120" w:after="28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chuong_pl_4_name"/>
      <w:r w:rsidRPr="005B4033">
        <w:rPr>
          <w:rFonts w:ascii="Times New Roman" w:hAnsi="Times New Roman" w:cs="Times New Roman"/>
          <w:b/>
          <w:bCs/>
          <w:sz w:val="24"/>
          <w:szCs w:val="24"/>
          <w:lang w:val="vi-VN"/>
        </w:rPr>
        <w:t>THANG ĐIỂM ÁP DỤNG BÌNH XÉT GIA ĐÌNH VĂN HÓA</w:t>
      </w:r>
      <w:bookmarkEnd w:id="1"/>
    </w:p>
    <w:tbl>
      <w:tblPr>
        <w:tblStyle w:val="TableGrid"/>
        <w:tblW w:w="494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3"/>
        <w:gridCol w:w="5533"/>
        <w:gridCol w:w="963"/>
        <w:gridCol w:w="963"/>
        <w:gridCol w:w="818"/>
      </w:tblGrid>
      <w:tr w:rsidR="006A4D47" w:rsidRPr="005B4033" w14:paraId="07A00AD1" w14:textId="77777777" w:rsidTr="00942025">
        <w:trPr>
          <w:trHeight w:val="336"/>
        </w:trPr>
        <w:tc>
          <w:tcPr>
            <w:tcW w:w="386" w:type="pct"/>
          </w:tcPr>
          <w:p w14:paraId="3C3A7E09" w14:textId="77777777" w:rsidR="006A4D47" w:rsidRPr="005B4033" w:rsidRDefault="006A4D47" w:rsidP="006A4D4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084" w:type="pct"/>
          </w:tcPr>
          <w:p w14:paraId="2B01F54A" w14:textId="7E9D98AB" w:rsidR="006A4D47" w:rsidRPr="006A4D47" w:rsidRDefault="006A4D47" w:rsidP="006A4D4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Tiêu chí</w:t>
            </w:r>
          </w:p>
        </w:tc>
        <w:tc>
          <w:tcPr>
            <w:tcW w:w="537" w:type="pct"/>
          </w:tcPr>
          <w:p w14:paraId="052BDF71" w14:textId="5CF5AF6C" w:rsidR="006A4D47" w:rsidRPr="006A4D47" w:rsidRDefault="006A4D47" w:rsidP="006A4D4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Có</w:t>
            </w:r>
          </w:p>
        </w:tc>
        <w:tc>
          <w:tcPr>
            <w:tcW w:w="537" w:type="pct"/>
          </w:tcPr>
          <w:p w14:paraId="7F27B76E" w14:textId="33A3DB3B" w:rsidR="006A4D47" w:rsidRPr="006A4D47" w:rsidRDefault="006A4D47" w:rsidP="006A4D4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4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Không</w:t>
            </w:r>
          </w:p>
        </w:tc>
        <w:tc>
          <w:tcPr>
            <w:tcW w:w="456" w:type="pct"/>
          </w:tcPr>
          <w:p w14:paraId="31B4FECF" w14:textId="2EC65F18" w:rsidR="006A4D47" w:rsidRPr="005B4033" w:rsidRDefault="006A4D47" w:rsidP="006A4D4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168FDEA0" w14:textId="77777777" w:rsidTr="00942025">
        <w:trPr>
          <w:trHeight w:val="336"/>
        </w:trPr>
        <w:tc>
          <w:tcPr>
            <w:tcW w:w="386" w:type="pct"/>
          </w:tcPr>
          <w:p w14:paraId="6B35ABB7" w14:textId="13134D78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3084" w:type="pct"/>
          </w:tcPr>
          <w:p w14:paraId="05097270" w14:textId="668FA9DE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Không xét tặng danh hiệu Gia đình văn hóa có thành viên trong gia đình vi phạm một trong các trường </w:t>
            </w: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hợp</w:t>
            </w:r>
            <w:r w:rsidRPr="005B40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sau</w:t>
            </w:r>
          </w:p>
        </w:tc>
        <w:tc>
          <w:tcPr>
            <w:tcW w:w="537" w:type="pct"/>
          </w:tcPr>
          <w:p w14:paraId="5677D5FA" w14:textId="3074891C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37" w:type="pct"/>
          </w:tcPr>
          <w:p w14:paraId="4E58C6DD" w14:textId="01BCBA63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</w:tcPr>
          <w:p w14:paraId="3ED1ED78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40C019EB" w14:textId="77777777" w:rsidTr="00942025">
        <w:trPr>
          <w:trHeight w:val="336"/>
        </w:trPr>
        <w:tc>
          <w:tcPr>
            <w:tcW w:w="386" w:type="pct"/>
          </w:tcPr>
          <w:p w14:paraId="481FB221" w14:textId="404718D2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084" w:type="pct"/>
          </w:tcPr>
          <w:p w14:paraId="030176B1" w14:textId="028FF441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Bị truy cứu trách nhiệm hình sự hoặc bị áp dụng các biện pháp xử lý hành chính theo quy định của Luật xử lý vi phạm hành chính.</w:t>
            </w:r>
          </w:p>
        </w:tc>
        <w:tc>
          <w:tcPr>
            <w:tcW w:w="537" w:type="pct"/>
          </w:tcPr>
          <w:p w14:paraId="6A33263C" w14:textId="679A226D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7" w:type="pct"/>
          </w:tcPr>
          <w:p w14:paraId="474EC602" w14:textId="1F278E03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</w:tcPr>
          <w:p w14:paraId="340F0F06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3D542D6E" w14:textId="77777777" w:rsidTr="00942025">
        <w:trPr>
          <w:trHeight w:val="336"/>
        </w:trPr>
        <w:tc>
          <w:tcPr>
            <w:tcW w:w="386" w:type="pct"/>
          </w:tcPr>
          <w:p w14:paraId="273D8F90" w14:textId="4B7FCE79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084" w:type="pct"/>
          </w:tcPr>
          <w:p w14:paraId="7FB95C94" w14:textId="0120D971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 phạm nghĩa vụ quân sự và nghĩa vụ nộp thuế.</w:t>
            </w:r>
          </w:p>
        </w:tc>
        <w:tc>
          <w:tcPr>
            <w:tcW w:w="537" w:type="pct"/>
          </w:tcPr>
          <w:p w14:paraId="0521A5BC" w14:textId="6442839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7" w:type="pct"/>
          </w:tcPr>
          <w:p w14:paraId="76DFDC75" w14:textId="66BF12E4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</w:tcPr>
          <w:p w14:paraId="0519796E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2410EEB6" w14:textId="77777777" w:rsidTr="00942025">
        <w:trPr>
          <w:trHeight w:val="336"/>
        </w:trPr>
        <w:tc>
          <w:tcPr>
            <w:tcW w:w="386" w:type="pct"/>
          </w:tcPr>
          <w:p w14:paraId="23DF3A38" w14:textId="4B44B4BB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084" w:type="pct"/>
          </w:tcPr>
          <w:p w14:paraId="45C94791" w14:textId="25D64619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Bị xử phạt vi phạm hành chính trong lĩnh vực </w:t>
            </w: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 xml:space="preserve">văn hoá, kinh doanh dịch vụ văn hoá công cộng, </w:t>
            </w: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xây dựng</w:t>
            </w: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phòng cháy, chữa cháy</w:t>
            </w: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bảo vệ môi trường</w:t>
            </w: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, vệ sinh an toàn thực phẩm.</w:t>
            </w:r>
          </w:p>
        </w:tc>
        <w:tc>
          <w:tcPr>
            <w:tcW w:w="537" w:type="pct"/>
          </w:tcPr>
          <w:p w14:paraId="55CB5B9E" w14:textId="284BF098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7" w:type="pct"/>
          </w:tcPr>
          <w:p w14:paraId="7586A359" w14:textId="0459C3F3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</w:tcPr>
          <w:p w14:paraId="49357D33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4B287D9C" w14:textId="77777777" w:rsidTr="00942025">
        <w:trPr>
          <w:trHeight w:val="336"/>
        </w:trPr>
        <w:tc>
          <w:tcPr>
            <w:tcW w:w="386" w:type="pct"/>
          </w:tcPr>
          <w:p w14:paraId="18594A3A" w14:textId="02BEF4C2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084" w:type="pct"/>
          </w:tcPr>
          <w:p w14:paraId="348163B2" w14:textId="72C061C8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tảo hôn hoặc hôn nhân cận huyết thống.</w:t>
            </w:r>
          </w:p>
        </w:tc>
        <w:tc>
          <w:tcPr>
            <w:tcW w:w="537" w:type="pct"/>
          </w:tcPr>
          <w:p w14:paraId="62DA6839" w14:textId="59743569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7" w:type="pct"/>
          </w:tcPr>
          <w:p w14:paraId="6FDD3443" w14:textId="5A31E25F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</w:tcPr>
          <w:p w14:paraId="142ADB37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065CC8FF" w14:textId="77777777" w:rsidTr="00942025">
        <w:trPr>
          <w:trHeight w:val="336"/>
        </w:trPr>
        <w:tc>
          <w:tcPr>
            <w:tcW w:w="386" w:type="pct"/>
          </w:tcPr>
          <w:p w14:paraId="0CEDC5EE" w14:textId="46C63F90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084" w:type="pct"/>
          </w:tcPr>
          <w:p w14:paraId="18CF01E5" w14:textId="3E81441D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Bạo lực gia đình bị xử phạt hành chính.</w:t>
            </w:r>
          </w:p>
        </w:tc>
        <w:tc>
          <w:tcPr>
            <w:tcW w:w="537" w:type="pct"/>
          </w:tcPr>
          <w:p w14:paraId="58887E24" w14:textId="001EED59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7" w:type="pct"/>
          </w:tcPr>
          <w:p w14:paraId="075BFDA7" w14:textId="3D841685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</w:tcPr>
          <w:p w14:paraId="6F1EA996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7AA5DF73" w14:textId="77777777" w:rsidTr="00942025">
        <w:trPr>
          <w:trHeight w:val="336"/>
        </w:trPr>
        <w:tc>
          <w:tcPr>
            <w:tcW w:w="386" w:type="pct"/>
          </w:tcPr>
          <w:p w14:paraId="23035513" w14:textId="0F60C616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084" w:type="pct"/>
          </w:tcPr>
          <w:p w14:paraId="51E37911" w14:textId="0E9BECB9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Mắc các tệ nạn xã hội, ma túy, mại dâm, trộm cắp, tổ chức đánh bạc hoặc đánh bạc.</w:t>
            </w:r>
          </w:p>
        </w:tc>
        <w:tc>
          <w:tcPr>
            <w:tcW w:w="537" w:type="pct"/>
          </w:tcPr>
          <w:p w14:paraId="1EA85FBD" w14:textId="0ED52790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7" w:type="pct"/>
          </w:tcPr>
          <w:p w14:paraId="3C6D91FA" w14:textId="225B7530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</w:tcPr>
          <w:p w14:paraId="52860620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4019B151" w14:textId="77777777" w:rsidTr="00942025">
        <w:trPr>
          <w:trHeight w:val="336"/>
        </w:trPr>
        <w:tc>
          <w:tcPr>
            <w:tcW w:w="386" w:type="pct"/>
          </w:tcPr>
          <w:p w14:paraId="59CBBF27" w14:textId="29AB7CEB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084" w:type="pct"/>
          </w:tcPr>
          <w:p w14:paraId="78710E1C" w14:textId="32E40BFA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Tham gia tụ tập đông người gây mất an ninh trật tự, an toàn xã hội.</w:t>
            </w:r>
          </w:p>
        </w:tc>
        <w:tc>
          <w:tcPr>
            <w:tcW w:w="537" w:type="pct"/>
          </w:tcPr>
          <w:p w14:paraId="24374B4C" w14:textId="71AC5008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7" w:type="pct"/>
          </w:tcPr>
          <w:p w14:paraId="785077A6" w14:textId="7A87376B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</w:tcPr>
          <w:p w14:paraId="420B21BA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43D97989" w14:textId="77777777" w:rsidTr="00942025">
        <w:trPr>
          <w:trHeight w:val="336"/>
        </w:trPr>
        <w:tc>
          <w:tcPr>
            <w:tcW w:w="386" w:type="pct"/>
          </w:tcPr>
          <w:p w14:paraId="303A6A15" w14:textId="3065EF18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pct"/>
          </w:tcPr>
          <w:p w14:paraId="4C047062" w14:textId="519242DC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Vắng sinh hoạt, hội họp ở thôn/tổ dân phố (không có lý do) từ 30% trở lên trên tổng số lần sinh hoạt, hội họp trong năm.</w:t>
            </w:r>
          </w:p>
        </w:tc>
        <w:tc>
          <w:tcPr>
            <w:tcW w:w="537" w:type="pct"/>
          </w:tcPr>
          <w:p w14:paraId="615847C0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37" w:type="pct"/>
          </w:tcPr>
          <w:p w14:paraId="12C57D06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pct"/>
          </w:tcPr>
          <w:p w14:paraId="3D5A14B7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033" w:rsidRPr="005B4033" w14:paraId="35B27D60" w14:textId="77777777" w:rsidTr="00942025">
        <w:trPr>
          <w:trHeight w:val="336"/>
        </w:trPr>
        <w:tc>
          <w:tcPr>
            <w:tcW w:w="386" w:type="pct"/>
          </w:tcPr>
          <w:p w14:paraId="21728A63" w14:textId="731BD546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pct"/>
          </w:tcPr>
          <w:p w14:paraId="4233C6F1" w14:textId="0DD1D91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Vi phạm chính sách dân số và kế hoạch hóa gia đình (sinh con thứ 3 trở lên).</w:t>
            </w:r>
          </w:p>
        </w:tc>
        <w:tc>
          <w:tcPr>
            <w:tcW w:w="537" w:type="pct"/>
          </w:tcPr>
          <w:p w14:paraId="5763D042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37" w:type="pct"/>
          </w:tcPr>
          <w:p w14:paraId="2B396379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pct"/>
          </w:tcPr>
          <w:p w14:paraId="53A9D739" w14:textId="77777777" w:rsidR="005B4033" w:rsidRPr="005B4033" w:rsidRDefault="005B4033" w:rsidP="005B40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9EC" w:rsidRPr="005B4033" w14:paraId="78621029" w14:textId="77777777" w:rsidTr="005B4033">
        <w:trPr>
          <w:trHeight w:val="538"/>
        </w:trPr>
        <w:tc>
          <w:tcPr>
            <w:tcW w:w="386" w:type="pct"/>
          </w:tcPr>
          <w:p w14:paraId="21CBAF92" w14:textId="05803809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3084" w:type="pct"/>
          </w:tcPr>
          <w:p w14:paraId="1E1B3DFF" w14:textId="474C4DDA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Tự đánh giá thực hiện tiêu chí</w:t>
            </w:r>
          </w:p>
        </w:tc>
        <w:tc>
          <w:tcPr>
            <w:tcW w:w="537" w:type="pct"/>
          </w:tcPr>
          <w:p w14:paraId="16261DD5" w14:textId="2713BB6F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Điểm</w:t>
            </w:r>
            <w:r w:rsidRPr="00B7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chuẩn</w:t>
            </w:r>
          </w:p>
        </w:tc>
        <w:tc>
          <w:tcPr>
            <w:tcW w:w="537" w:type="pct"/>
          </w:tcPr>
          <w:p w14:paraId="4F531EB6" w14:textId="14AD9642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 chấm</w:t>
            </w:r>
          </w:p>
        </w:tc>
        <w:tc>
          <w:tcPr>
            <w:tcW w:w="456" w:type="pct"/>
          </w:tcPr>
          <w:p w14:paraId="42CE1E02" w14:textId="626A2629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BCĐ chấm lại</w:t>
            </w:r>
          </w:p>
        </w:tc>
      </w:tr>
      <w:tr w:rsidR="005269EC" w:rsidRPr="005B4033" w14:paraId="66CE0DFF" w14:textId="77777777" w:rsidTr="005B4033">
        <w:trPr>
          <w:trHeight w:val="538"/>
        </w:trPr>
        <w:tc>
          <w:tcPr>
            <w:tcW w:w="386" w:type="pct"/>
          </w:tcPr>
          <w:p w14:paraId="2ABD8A62" w14:textId="219CC926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4" w:type="pct"/>
          </w:tcPr>
          <w:p w14:paraId="44729FE7" w14:textId="16DD8AA7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Gương mẫu chấp hành chủ trương, chính sách của Đảng; pháp luật của Nhà nước; tích cực tham gia các phong trào thi đua của địa phương nơi cư trú</w:t>
            </w:r>
          </w:p>
        </w:tc>
        <w:tc>
          <w:tcPr>
            <w:tcW w:w="537" w:type="pct"/>
          </w:tcPr>
          <w:p w14:paraId="7C6D33A3" w14:textId="4C1CE5F5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37" w:type="pct"/>
          </w:tcPr>
          <w:p w14:paraId="0462E270" w14:textId="77777777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60959DA8" w14:textId="77777777" w:rsidR="005269EC" w:rsidRPr="005B4033" w:rsidRDefault="005269EC" w:rsidP="005269EC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4C16C88F" w14:textId="77777777" w:rsidTr="00942025">
        <w:trPr>
          <w:trHeight w:val="749"/>
        </w:trPr>
        <w:tc>
          <w:tcPr>
            <w:tcW w:w="386" w:type="pct"/>
          </w:tcPr>
          <w:p w14:paraId="6512E223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84" w:type="pct"/>
          </w:tcPr>
          <w:p w14:paraId="207A52A0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thành viên trong gia đình chấp hành các quy định của pháp luật; không bị xử lý kỷ luật tại nơi làm việc và học tập.</w:t>
            </w:r>
          </w:p>
        </w:tc>
        <w:tc>
          <w:tcPr>
            <w:tcW w:w="537" w:type="pct"/>
          </w:tcPr>
          <w:p w14:paraId="0FC08BE9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68C41D91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46AF3F28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3CE79FDC" w14:textId="77777777" w:rsidTr="00942025">
        <w:trPr>
          <w:trHeight w:val="471"/>
        </w:trPr>
        <w:tc>
          <w:tcPr>
            <w:tcW w:w="386" w:type="pct"/>
          </w:tcPr>
          <w:p w14:paraId="2118E66D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84" w:type="pct"/>
          </w:tcPr>
          <w:p w14:paraId="534C9A38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</w:t>
            </w: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hành hương ước, quy ước của cộng đồng.</w:t>
            </w:r>
          </w:p>
        </w:tc>
        <w:tc>
          <w:tcPr>
            <w:tcW w:w="537" w:type="pct"/>
          </w:tcPr>
          <w:p w14:paraId="3CC54025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763A9132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3FE12F7D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67526532" w14:textId="77777777" w:rsidTr="00942025">
        <w:trPr>
          <w:trHeight w:val="497"/>
        </w:trPr>
        <w:tc>
          <w:tcPr>
            <w:tcW w:w="386" w:type="pct"/>
          </w:tcPr>
          <w:p w14:paraId="1CEC7F69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3084" w:type="pct"/>
          </w:tcPr>
          <w:p w14:paraId="37E0935F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Treo Quốc kỳ trong những ngày lễ, sự kiện chính trị của đất nước theo quy định.</w:t>
            </w:r>
          </w:p>
        </w:tc>
        <w:tc>
          <w:tcPr>
            <w:tcW w:w="537" w:type="pct"/>
          </w:tcPr>
          <w:p w14:paraId="3D826E24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4FC8319F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4E2472BC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3258B4FC" w14:textId="77777777" w:rsidTr="00942025">
        <w:trPr>
          <w:trHeight w:val="439"/>
        </w:trPr>
        <w:tc>
          <w:tcPr>
            <w:tcW w:w="386" w:type="pct"/>
          </w:tcPr>
          <w:p w14:paraId="5F011344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84" w:type="pct"/>
          </w:tcPr>
          <w:p w14:paraId="474D0B51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tham gia các hoạt động văn hóa hoặc văn nghệ ở nơi cư trú; thường xuyên luyện tập thể dục, thể thao.</w:t>
            </w:r>
          </w:p>
        </w:tc>
        <w:tc>
          <w:tcPr>
            <w:tcW w:w="537" w:type="pct"/>
          </w:tcPr>
          <w:p w14:paraId="71B806AD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37" w:type="pct"/>
          </w:tcPr>
          <w:p w14:paraId="3BE51C66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5F7F5124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641094E2" w14:textId="77777777" w:rsidTr="00942025">
        <w:tc>
          <w:tcPr>
            <w:tcW w:w="386" w:type="pct"/>
          </w:tcPr>
          <w:p w14:paraId="1023F866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3084" w:type="pct"/>
          </w:tcPr>
          <w:p w14:paraId="4EFD1428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nếp sống văn minh trong việc cưới, việc tang và lễ hội theo quy định.</w:t>
            </w:r>
          </w:p>
        </w:tc>
        <w:tc>
          <w:tcPr>
            <w:tcW w:w="537" w:type="pct"/>
          </w:tcPr>
          <w:p w14:paraId="5DFB17B9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14:paraId="04CA0235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54C3513E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21AD2898" w14:textId="77777777" w:rsidTr="00942025">
        <w:tc>
          <w:tcPr>
            <w:tcW w:w="386" w:type="pct"/>
          </w:tcPr>
          <w:p w14:paraId="6B2C8860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084" w:type="pct"/>
          </w:tcPr>
          <w:p w14:paraId="2678C8C2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Tham gia bảo vệ di tích lịch sử - văn hóa, danh lam thắng cảnh, cảnh quan thiên nhiên của địa phương.</w:t>
            </w:r>
          </w:p>
        </w:tc>
        <w:tc>
          <w:tcPr>
            <w:tcW w:w="537" w:type="pct"/>
          </w:tcPr>
          <w:p w14:paraId="02BA73F3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37" w:type="pct"/>
          </w:tcPr>
          <w:p w14:paraId="45FEF0F7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606F1CB5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077D3A45" w14:textId="77777777" w:rsidTr="00942025">
        <w:trPr>
          <w:trHeight w:val="708"/>
        </w:trPr>
        <w:tc>
          <w:tcPr>
            <w:tcW w:w="386" w:type="pct"/>
          </w:tcPr>
          <w:p w14:paraId="0AFB04B9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84" w:type="pct"/>
          </w:tcPr>
          <w:p w14:paraId="5AF0D4D8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Giữ gìn vệ sinh môi trường, đổ rác và chất thải đúng giờ, đúng nơi quy định.</w:t>
            </w:r>
          </w:p>
        </w:tc>
        <w:tc>
          <w:tcPr>
            <w:tcW w:w="537" w:type="pct"/>
          </w:tcPr>
          <w:p w14:paraId="64223FAD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37" w:type="pct"/>
          </w:tcPr>
          <w:p w14:paraId="10F1CE8E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278DD6FC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7A79746C" w14:textId="77777777" w:rsidTr="00942025">
        <w:trPr>
          <w:trHeight w:val="774"/>
        </w:trPr>
        <w:tc>
          <w:tcPr>
            <w:tcW w:w="386" w:type="pct"/>
          </w:tcPr>
          <w:p w14:paraId="6A312FCC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4" w:type="pct"/>
          </w:tcPr>
          <w:p w14:paraId="7C0390EE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Tham gia đầy đủ các phong trào từ thiện, nhân đạo, đền ơn đáp nghĩa, khuyến học khuyến tài; sinh hoạt cộng đồng ở nơi cư trú.</w:t>
            </w:r>
          </w:p>
        </w:tc>
        <w:tc>
          <w:tcPr>
            <w:tcW w:w="537" w:type="pct"/>
          </w:tcPr>
          <w:p w14:paraId="2FDBE2EA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37" w:type="pct"/>
          </w:tcPr>
          <w:p w14:paraId="219CE694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1B467EC1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11BB2273" w14:textId="77777777" w:rsidTr="00942025">
        <w:trPr>
          <w:trHeight w:val="662"/>
        </w:trPr>
        <w:tc>
          <w:tcPr>
            <w:tcW w:w="386" w:type="pct"/>
          </w:tcPr>
          <w:p w14:paraId="207449EC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84" w:type="pct"/>
          </w:tcPr>
          <w:p w14:paraId="2844B1C9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vi phạm các quy định về vệ sinh an toàn thực phẩm, phòng chống dịch bệnh.</w:t>
            </w:r>
          </w:p>
        </w:tc>
        <w:tc>
          <w:tcPr>
            <w:tcW w:w="537" w:type="pct"/>
          </w:tcPr>
          <w:p w14:paraId="6E6537B2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37" w:type="pct"/>
          </w:tcPr>
          <w:p w14:paraId="3C169309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4913A559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6A49D5CE" w14:textId="77777777" w:rsidTr="00942025">
        <w:trPr>
          <w:trHeight w:val="403"/>
        </w:trPr>
        <w:tc>
          <w:tcPr>
            <w:tcW w:w="386" w:type="pct"/>
          </w:tcPr>
          <w:p w14:paraId="53254475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084" w:type="pct"/>
          </w:tcPr>
          <w:p w14:paraId="57C01C90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vi phạm quy định phòng, chống cháy n</w:t>
            </w: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37" w:type="pct"/>
          </w:tcPr>
          <w:p w14:paraId="001494E9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37" w:type="pct"/>
          </w:tcPr>
          <w:p w14:paraId="30A164E5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3AA86C27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1248748E" w14:textId="77777777" w:rsidTr="00942025">
        <w:tc>
          <w:tcPr>
            <w:tcW w:w="386" w:type="pct"/>
          </w:tcPr>
          <w:p w14:paraId="2D9C1E2C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084" w:type="pct"/>
          </w:tcPr>
          <w:p w14:paraId="593E4BC2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vi phạm pháp luật về trật tự, an toàn giao thông như: Lấn chiếm lòng đường, hè phố, tham gia giao thông không đúng quy định.</w:t>
            </w:r>
          </w:p>
        </w:tc>
        <w:tc>
          <w:tcPr>
            <w:tcW w:w="537" w:type="pct"/>
          </w:tcPr>
          <w:p w14:paraId="45ED4025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37" w:type="pct"/>
          </w:tcPr>
          <w:p w14:paraId="39C2B025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7CEC5A13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70716E79" w14:textId="77777777" w:rsidTr="00942025">
        <w:tc>
          <w:tcPr>
            <w:tcW w:w="386" w:type="pct"/>
          </w:tcPr>
          <w:p w14:paraId="00AC2390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4" w:type="pct"/>
          </w:tcPr>
          <w:p w14:paraId="66DCF2B9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Gia đình h</w:t>
            </w: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òa </w:t>
            </w: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thuận, hạnh phúc, tiến bộ; tương trợ giúp đỡ mọi người trong cộng đồng</w:t>
            </w:r>
          </w:p>
        </w:tc>
        <w:tc>
          <w:tcPr>
            <w:tcW w:w="537" w:type="pct"/>
          </w:tcPr>
          <w:p w14:paraId="455891E1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7" w:type="pct"/>
          </w:tcPr>
          <w:p w14:paraId="71E12E8A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66C3611C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5269EC" w:rsidRPr="005B4033" w14:paraId="768D9581" w14:textId="77777777" w:rsidTr="00942025">
        <w:tc>
          <w:tcPr>
            <w:tcW w:w="386" w:type="pct"/>
          </w:tcPr>
          <w:p w14:paraId="4AA80919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84" w:type="pct"/>
          </w:tcPr>
          <w:p w14:paraId="2B71E8B6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Ông, bà, cha, mẹ và các thành viên trong gia đình được quan tâm, chăm sóc, phụng dưỡng.</w:t>
            </w:r>
          </w:p>
        </w:tc>
        <w:tc>
          <w:tcPr>
            <w:tcW w:w="537" w:type="pct"/>
          </w:tcPr>
          <w:p w14:paraId="4BF965C8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39C2976D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79380E68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180A5FAB" w14:textId="77777777" w:rsidTr="00942025">
        <w:tc>
          <w:tcPr>
            <w:tcW w:w="386" w:type="pct"/>
          </w:tcPr>
          <w:p w14:paraId="30AD5B18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84" w:type="pct"/>
          </w:tcPr>
          <w:p w14:paraId="058C6A7C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Hôn nhân tự nguyện, tiến bộ, một vợ một chồng, bình đẳng, hòa thuận, thủy chung.</w:t>
            </w:r>
          </w:p>
        </w:tc>
        <w:tc>
          <w:tcPr>
            <w:tcW w:w="537" w:type="pct"/>
          </w:tcPr>
          <w:p w14:paraId="76DDC473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34C672D4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3C2FFD04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496FC285" w14:textId="77777777" w:rsidTr="00942025">
        <w:trPr>
          <w:trHeight w:val="542"/>
        </w:trPr>
        <w:tc>
          <w:tcPr>
            <w:tcW w:w="386" w:type="pct"/>
          </w:tcPr>
          <w:p w14:paraId="6104D519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84" w:type="pct"/>
          </w:tcPr>
          <w:p w14:paraId="116FFFD8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t</w:t>
            </w: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chính sách dân s</w:t>
            </w: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 thực hiện bình đẳng giới.</w:t>
            </w:r>
          </w:p>
        </w:tc>
        <w:tc>
          <w:tcPr>
            <w:tcW w:w="537" w:type="pct"/>
          </w:tcPr>
          <w:p w14:paraId="10B6BA31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4D11B088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3AAE3D3B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7EC4481D" w14:textId="77777777" w:rsidTr="00942025">
        <w:tc>
          <w:tcPr>
            <w:tcW w:w="386" w:type="pct"/>
          </w:tcPr>
          <w:p w14:paraId="5F864A19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84" w:type="pct"/>
          </w:tcPr>
          <w:p w14:paraId="3DD57C7F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thành viên trong gia đình tham gia bảo hi</w:t>
            </w: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 y tế và được chăm sóc sức khỏe.</w:t>
            </w:r>
          </w:p>
        </w:tc>
        <w:tc>
          <w:tcPr>
            <w:tcW w:w="537" w:type="pct"/>
          </w:tcPr>
          <w:p w14:paraId="4215DEB1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5C0CFBE0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79279677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4AD7DE22" w14:textId="77777777" w:rsidTr="00942025">
        <w:tc>
          <w:tcPr>
            <w:tcW w:w="386" w:type="pct"/>
          </w:tcPr>
          <w:p w14:paraId="4B0F8E86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</w:t>
            </w:r>
          </w:p>
        </w:tc>
        <w:tc>
          <w:tcPr>
            <w:tcW w:w="3084" w:type="pct"/>
          </w:tcPr>
          <w:p w14:paraId="2EDB8C9D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thành viên trong gia đình có nếp sống lành mạnh, văn minh, ứng xử có văn hóa trong gia đình, cộng đồng và xã hội.</w:t>
            </w:r>
          </w:p>
        </w:tc>
        <w:tc>
          <w:tcPr>
            <w:tcW w:w="537" w:type="pct"/>
          </w:tcPr>
          <w:p w14:paraId="37AE2606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2EF5767E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19CF9019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3F18710D" w14:textId="77777777" w:rsidTr="00942025">
        <w:tc>
          <w:tcPr>
            <w:tcW w:w="386" w:type="pct"/>
          </w:tcPr>
          <w:p w14:paraId="56718A07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084" w:type="pct"/>
          </w:tcPr>
          <w:p w14:paraId="5CC919EA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Tương trợ, giúp đỡ mọi người trong cộng đồng khi khó khăn, hoạn nạn.</w:t>
            </w:r>
          </w:p>
        </w:tc>
        <w:tc>
          <w:tcPr>
            <w:tcW w:w="537" w:type="pct"/>
          </w:tcPr>
          <w:p w14:paraId="29F40B03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1257463D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392E44F6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1B2EFC6B" w14:textId="77777777" w:rsidTr="00942025">
        <w:tc>
          <w:tcPr>
            <w:tcW w:w="386" w:type="pct"/>
          </w:tcPr>
          <w:p w14:paraId="27B5D7D7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4" w:type="pct"/>
          </w:tcPr>
          <w:p w14:paraId="06261DF6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chức lao động, sản xuất, kinh doanh, công tác, h</w:t>
            </w: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 tập đ</w:t>
            </w: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 w:rsidRPr="005B4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 năng suất, chất lượng và hiệu quả</w:t>
            </w:r>
          </w:p>
        </w:tc>
        <w:tc>
          <w:tcPr>
            <w:tcW w:w="537" w:type="pct"/>
          </w:tcPr>
          <w:p w14:paraId="7F582B73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7" w:type="pct"/>
          </w:tcPr>
          <w:p w14:paraId="7487C6BF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17E083DA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75F8A425" w14:textId="77777777" w:rsidTr="00942025">
        <w:trPr>
          <w:trHeight w:val="437"/>
        </w:trPr>
        <w:tc>
          <w:tcPr>
            <w:tcW w:w="386" w:type="pct"/>
          </w:tcPr>
          <w:p w14:paraId="74964D84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84" w:type="pct"/>
          </w:tcPr>
          <w:p w14:paraId="4528A715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Kinh tế gia đình ổn định và phát triển từ nguồn thu nhập chính đáng.</w:t>
            </w:r>
          </w:p>
        </w:tc>
        <w:tc>
          <w:tcPr>
            <w:tcW w:w="537" w:type="pct"/>
          </w:tcPr>
          <w:p w14:paraId="439E9A49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3691AB33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0D61A4B6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122321F4" w14:textId="77777777" w:rsidTr="00942025">
        <w:tc>
          <w:tcPr>
            <w:tcW w:w="386" w:type="pct"/>
          </w:tcPr>
          <w:p w14:paraId="5EBE0AF6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84" w:type="pct"/>
          </w:tcPr>
          <w:p w14:paraId="3BB77262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Tham gia các chương trình, kế hoạch phát triển kinh tế, văn hóa - xã hội do địa phương tổ chức.</w:t>
            </w:r>
          </w:p>
        </w:tc>
        <w:tc>
          <w:tcPr>
            <w:tcW w:w="537" w:type="pct"/>
          </w:tcPr>
          <w:p w14:paraId="07ABEC7A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699BB3BF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154BA5C5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3263E283" w14:textId="77777777" w:rsidTr="00942025">
        <w:tc>
          <w:tcPr>
            <w:tcW w:w="386" w:type="pct"/>
          </w:tcPr>
          <w:p w14:paraId="68DA47A2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84" w:type="pct"/>
          </w:tcPr>
          <w:p w14:paraId="18FB0252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Người trong độ tuổi lao động có việc làm và thu nhập ổn định.</w:t>
            </w:r>
          </w:p>
        </w:tc>
        <w:tc>
          <w:tcPr>
            <w:tcW w:w="537" w:type="pct"/>
          </w:tcPr>
          <w:p w14:paraId="7094CFEA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17F932D4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4E1FBB5E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4B01A636" w14:textId="77777777" w:rsidTr="00942025">
        <w:tc>
          <w:tcPr>
            <w:tcW w:w="386" w:type="pct"/>
          </w:tcPr>
          <w:p w14:paraId="3CF57B81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84" w:type="pct"/>
          </w:tcPr>
          <w:p w14:paraId="308FDB61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Trẻ em trong độ tuổi đi học được đến trường.</w:t>
            </w:r>
          </w:p>
        </w:tc>
        <w:tc>
          <w:tcPr>
            <w:tcW w:w="537" w:type="pct"/>
          </w:tcPr>
          <w:p w14:paraId="19DFF813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37" w:type="pct"/>
          </w:tcPr>
          <w:p w14:paraId="403CB097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734F79D4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66BF4E79" w14:textId="77777777" w:rsidTr="00942025">
        <w:tc>
          <w:tcPr>
            <w:tcW w:w="386" w:type="pct"/>
          </w:tcPr>
          <w:p w14:paraId="19524A8C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3084" w:type="pct"/>
          </w:tcPr>
          <w:p w14:paraId="0502AA0A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Sử dụng nước</w:t>
            </w:r>
            <w:r w:rsidRPr="005B4033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sạch.</w:t>
            </w:r>
          </w:p>
        </w:tc>
        <w:tc>
          <w:tcPr>
            <w:tcW w:w="537" w:type="pct"/>
          </w:tcPr>
          <w:p w14:paraId="5241F88E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14:paraId="47E93EE5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5A1EB2D4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0C8E614C" w14:textId="77777777" w:rsidTr="00942025">
        <w:tc>
          <w:tcPr>
            <w:tcW w:w="386" w:type="pct"/>
          </w:tcPr>
          <w:p w14:paraId="54326188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084" w:type="pct"/>
          </w:tcPr>
          <w:p w14:paraId="2BD475A0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công trình phụ hợp vệ sinh.</w:t>
            </w:r>
          </w:p>
        </w:tc>
        <w:tc>
          <w:tcPr>
            <w:tcW w:w="537" w:type="pct"/>
          </w:tcPr>
          <w:p w14:paraId="10B13F17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14:paraId="7ACDFF2A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4BC2D5BC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269EC" w:rsidRPr="005B4033" w14:paraId="1266DE7D" w14:textId="77777777" w:rsidTr="00942025">
        <w:tc>
          <w:tcPr>
            <w:tcW w:w="386" w:type="pct"/>
          </w:tcPr>
          <w:p w14:paraId="4D374579" w14:textId="77777777" w:rsidR="005269EC" w:rsidRPr="005B4033" w:rsidRDefault="005269EC" w:rsidP="005269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84" w:type="pct"/>
          </w:tcPr>
          <w:p w14:paraId="5C711AE2" w14:textId="77777777" w:rsidR="005269EC" w:rsidRPr="005B4033" w:rsidRDefault="005269EC" w:rsidP="005269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phương tiện nghe, nhìn và thường xuyên được tiếp cận thông tin kinh tế, văn hóa - xã hội.</w:t>
            </w:r>
          </w:p>
        </w:tc>
        <w:tc>
          <w:tcPr>
            <w:tcW w:w="537" w:type="pct"/>
          </w:tcPr>
          <w:p w14:paraId="7A212777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37" w:type="pct"/>
          </w:tcPr>
          <w:p w14:paraId="64F3F87D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</w:tcPr>
          <w:p w14:paraId="7E90C1C7" w14:textId="77777777" w:rsidR="005269EC" w:rsidRPr="005B4033" w:rsidRDefault="005269EC" w:rsidP="005269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27BCE4B2" w14:textId="77777777" w:rsidR="00DE232D" w:rsidRPr="005B4033" w:rsidRDefault="00DE232D">
      <w:pPr>
        <w:rPr>
          <w:rFonts w:ascii="Times New Roman" w:hAnsi="Times New Roman" w:cs="Times New Roman"/>
          <w:sz w:val="24"/>
          <w:szCs w:val="24"/>
        </w:rPr>
      </w:pPr>
    </w:p>
    <w:sectPr w:rsidR="00DE232D" w:rsidRPr="005B4033" w:rsidSect="003C3D99">
      <w:pgSz w:w="11907" w:h="16840" w:code="9"/>
      <w:pgMar w:top="1134" w:right="1134" w:bottom="1134" w:left="1701" w:header="0" w:footer="6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33"/>
    <w:rsid w:val="003C3D99"/>
    <w:rsid w:val="00455215"/>
    <w:rsid w:val="004B7330"/>
    <w:rsid w:val="0052668B"/>
    <w:rsid w:val="005269EC"/>
    <w:rsid w:val="005B4033"/>
    <w:rsid w:val="006A4D47"/>
    <w:rsid w:val="007D4872"/>
    <w:rsid w:val="00941133"/>
    <w:rsid w:val="00BD0865"/>
    <w:rsid w:val="00C65305"/>
    <w:rsid w:val="00D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8168"/>
  <w15:chartTrackingRefBased/>
  <w15:docId w15:val="{157EA50D-A44F-4595-892B-67EA415C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33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03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2022-09-19T02:49:00Z</dcterms:created>
  <dcterms:modified xsi:type="dcterms:W3CDTF">2022-09-19T03:08:00Z</dcterms:modified>
</cp:coreProperties>
</file>